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9BBF3" w14:textId="77777777" w:rsidR="009A1A40" w:rsidRPr="009A1A40" w:rsidRDefault="009A1A40" w:rsidP="009A1A40">
      <w:pPr>
        <w:rPr>
          <w:b/>
          <w:bCs/>
        </w:rPr>
      </w:pPr>
    </w:p>
    <w:p w14:paraId="229C5D74" w14:textId="0456AC26" w:rsidR="009A1A40" w:rsidRPr="009A1A40" w:rsidRDefault="009A1A40" w:rsidP="009A1A40">
      <w:pPr>
        <w:jc w:val="center"/>
        <w:rPr>
          <w:b/>
          <w:bCs/>
        </w:rPr>
      </w:pPr>
      <w:r w:rsidRPr="009A1A40">
        <w:rPr>
          <w:b/>
          <w:bCs/>
          <w:noProof/>
        </w:rPr>
        <mc:AlternateContent>
          <mc:Choice Requires="wps">
            <w:drawing>
              <wp:anchor distT="0" distB="0" distL="114300" distR="114300" simplePos="0" relativeHeight="251660288" behindDoc="0" locked="0" layoutInCell="1" allowOverlap="1" wp14:anchorId="7FEAAF95" wp14:editId="571C6700">
                <wp:simplePos x="0" y="0"/>
                <wp:positionH relativeFrom="column">
                  <wp:posOffset>-104775</wp:posOffset>
                </wp:positionH>
                <wp:positionV relativeFrom="paragraph">
                  <wp:posOffset>581025</wp:posOffset>
                </wp:positionV>
                <wp:extent cx="6257925" cy="0"/>
                <wp:effectExtent l="0" t="0" r="0" b="0"/>
                <wp:wrapNone/>
                <wp:docPr id="2009498894" name="Straight Connector 3"/>
                <wp:cNvGraphicFramePr/>
                <a:graphic xmlns:a="http://schemas.openxmlformats.org/drawingml/2006/main">
                  <a:graphicData uri="http://schemas.microsoft.com/office/word/2010/wordprocessingShape">
                    <wps:wsp>
                      <wps:cNvCnPr/>
                      <wps:spPr>
                        <a:xfrm>
                          <a:off x="0" y="0"/>
                          <a:ext cx="62579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87F7F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45.75pt" to="484.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" strokecolor="#4a7ebb"/>
            </w:pict>
          </mc:Fallback>
        </mc:AlternateContent>
      </w:r>
      <w:r w:rsidRPr="009A1A40">
        <w:rPr>
          <w:b/>
          <w:bCs/>
          <w:noProof/>
        </w:rPr>
        <mc:AlternateContent>
          <mc:Choice Requires="wps">
            <w:drawing>
              <wp:anchor distT="0" distB="0" distL="114300" distR="114300" simplePos="0" relativeHeight="251659264" behindDoc="0" locked="0" layoutInCell="1" allowOverlap="1" wp14:anchorId="695EE5FB" wp14:editId="51318E61">
                <wp:simplePos x="0" y="0"/>
                <wp:positionH relativeFrom="column">
                  <wp:posOffset>-104775</wp:posOffset>
                </wp:positionH>
                <wp:positionV relativeFrom="paragraph">
                  <wp:posOffset>-152400</wp:posOffset>
                </wp:positionV>
                <wp:extent cx="6257925" cy="0"/>
                <wp:effectExtent l="0" t="0" r="0" b="0"/>
                <wp:wrapNone/>
                <wp:docPr id="1971373314" name="Straight Connector 2"/>
                <wp:cNvGraphicFramePr/>
                <a:graphic xmlns:a="http://schemas.openxmlformats.org/drawingml/2006/main">
                  <a:graphicData uri="http://schemas.microsoft.com/office/word/2010/wordprocessingShape">
                    <wps:wsp>
                      <wps:cNvCnPr/>
                      <wps:spPr>
                        <a:xfrm>
                          <a:off x="0" y="0"/>
                          <a:ext cx="6257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47875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2pt" to="48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" strokecolor="#156082 [3204]" strokeweight=".5pt">
                <v:stroke joinstyle="miter"/>
              </v:line>
            </w:pict>
          </mc:Fallback>
        </mc:AlternateContent>
      </w:r>
      <w:r w:rsidRPr="009A1A40">
        <w:rPr>
          <w:b/>
          <w:bCs/>
        </w:rPr>
        <w:t>Summary of Content Changes</w:t>
      </w:r>
      <w:r w:rsidRPr="009A1A40">
        <w:rPr>
          <w:b/>
          <w:bCs/>
        </w:rPr>
        <w:br/>
        <w:t>2024.</w:t>
      </w:r>
      <w:r>
        <w:rPr>
          <w:b/>
          <w:bCs/>
        </w:rPr>
        <w:t>3</w:t>
      </w:r>
      <w:r w:rsidRPr="009A1A40">
        <w:rPr>
          <w:b/>
          <w:bCs/>
        </w:rPr>
        <w:t xml:space="preserve"> Update – </w:t>
      </w:r>
      <w:r w:rsidR="009E189B">
        <w:rPr>
          <w:b/>
          <w:bCs/>
        </w:rPr>
        <w:t>October</w:t>
      </w:r>
      <w:r w:rsidRPr="009A1A40">
        <w:rPr>
          <w:b/>
          <w:bCs/>
        </w:rPr>
        <w:t xml:space="preserve"> 2024</w:t>
      </w:r>
    </w:p>
    <w:p w14:paraId="63B9EE80" w14:textId="77777777" w:rsidR="009A1A40" w:rsidRPr="009A1A40" w:rsidRDefault="009A1A40" w:rsidP="009A1A40">
      <w:pPr>
        <w:rPr>
          <w:b/>
          <w:bCs/>
          <w:u w:val="single"/>
        </w:rPr>
      </w:pPr>
    </w:p>
    <w:p w14:paraId="6EFF89A7" w14:textId="77777777" w:rsidR="009A1A40" w:rsidRPr="009A1A40" w:rsidRDefault="009A1A40" w:rsidP="009A1A40">
      <w:pPr>
        <w:rPr>
          <w:b/>
          <w:bCs/>
        </w:rPr>
      </w:pPr>
      <w:r w:rsidRPr="009A1A40">
        <w:rPr>
          <w:b/>
          <w:bCs/>
        </w:rPr>
        <w:t>General Notes</w:t>
      </w:r>
    </w:p>
    <w:p w14:paraId="7D8E0B2D" w14:textId="2A88B760" w:rsidR="00A25313" w:rsidRDefault="00F17215" w:rsidP="00A25313">
      <w:r>
        <w:rPr>
          <w:rStyle w:val="Hyperlink"/>
          <w:color w:val="000000" w:themeColor="text1"/>
          <w:u w:val="none"/>
        </w:rPr>
        <w:t xml:space="preserve">In this update, we have the </w:t>
      </w:r>
      <w:hyperlink r:id="rId5" w:history="1">
        <w:r w:rsidR="00CA2F6F" w:rsidRPr="00A25313">
          <w:rPr>
            <w:rStyle w:val="Hyperlink"/>
          </w:rPr>
          <w:t xml:space="preserve">ACH </w:t>
        </w:r>
        <w:r>
          <w:rPr>
            <w:rStyle w:val="Hyperlink"/>
          </w:rPr>
          <w:t>c</w:t>
        </w:r>
        <w:r w:rsidR="00CA2F6F" w:rsidRPr="00A25313">
          <w:rPr>
            <w:rStyle w:val="Hyperlink"/>
          </w:rPr>
          <w:t xml:space="preserve">hanges </w:t>
        </w:r>
        <w:r>
          <w:rPr>
            <w:rStyle w:val="Hyperlink"/>
          </w:rPr>
          <w:t xml:space="preserve">that </w:t>
        </w:r>
        <w:r w:rsidR="00CA2F6F" w:rsidRPr="00A25313">
          <w:rPr>
            <w:rStyle w:val="Hyperlink"/>
          </w:rPr>
          <w:t>become effective on October 1, 2024</w:t>
        </w:r>
      </w:hyperlink>
      <w:r w:rsidR="00CA2F6F" w:rsidRPr="00F5008A">
        <w:rPr>
          <w:rStyle w:val="Hyperlink"/>
          <w:color w:val="000000" w:themeColor="text1"/>
          <w:u w:val="none"/>
        </w:rPr>
        <w:t xml:space="preserve"> </w:t>
      </w:r>
      <w:r w:rsidR="00A25313">
        <w:t>that are part of a larger Risk Management package.</w:t>
      </w:r>
      <w:r w:rsidR="00F00999">
        <w:t xml:space="preserve">  Those </w:t>
      </w:r>
      <w:r>
        <w:t>amendments</w:t>
      </w:r>
      <w:r w:rsidR="00FD69B7">
        <w:t>, in addition to other changes to improve the policies,</w:t>
      </w:r>
      <w:r>
        <w:t xml:space="preserve"> are</w:t>
      </w:r>
      <w:r w:rsidR="00F00999">
        <w:t xml:space="preserve"> included in Policies 2611: ACH Operations and Management, and 2612: ACH Audit.  A brief summary of the changes include:</w:t>
      </w:r>
    </w:p>
    <w:p w14:paraId="040B5FDF" w14:textId="77777777" w:rsidR="00A25313" w:rsidRDefault="00A25313" w:rsidP="00A25313">
      <w:pPr>
        <w:pStyle w:val="ListParagraph"/>
        <w:numPr>
          <w:ilvl w:val="0"/>
          <w:numId w:val="1"/>
        </w:numPr>
      </w:pPr>
      <w:r>
        <w:t>RDFIs are permitted to (but not required) to use R17 to return an entry that it believes is fraudulent.</w:t>
      </w:r>
    </w:p>
    <w:p w14:paraId="4369A59C" w14:textId="549C41B5" w:rsidR="00A25313" w:rsidRPr="006E13BC" w:rsidRDefault="00A25313" w:rsidP="00A25313">
      <w:pPr>
        <w:pStyle w:val="ListParagraph"/>
        <w:numPr>
          <w:ilvl w:val="0"/>
          <w:numId w:val="1"/>
        </w:numPr>
      </w:pPr>
      <w:r>
        <w:t xml:space="preserve">A new term is being referenced, </w:t>
      </w:r>
      <w:r w:rsidRPr="005B4F18">
        <w:rPr>
          <w:i/>
          <w:iCs/>
        </w:rPr>
        <w:t>false pretenses</w:t>
      </w:r>
      <w:r>
        <w:t xml:space="preserve">, which </w:t>
      </w:r>
      <w:r w:rsidR="00583D90">
        <w:t>is defined as “</w:t>
      </w:r>
      <w:r>
        <w:t>the inducement of a payment by a Person misrepresenting (a) that Person’s identity, (b) that Person’s association with or authority to act on behalf of another Person, or (c) the ownership of an account to be credited.</w:t>
      </w:r>
      <w:r w:rsidR="00583D90">
        <w:t>”</w:t>
      </w:r>
      <w:r>
        <w:t xml:space="preserve">  The amended rule provides RDFIs with an additional exemption from the funds availability requirements to include credit entries that the RDFI suspects are originated under </w:t>
      </w:r>
      <w:r w:rsidRPr="005B4F18">
        <w:rPr>
          <w:i/>
          <w:iCs/>
        </w:rPr>
        <w:t>false pretenses.</w:t>
      </w:r>
    </w:p>
    <w:p w14:paraId="470322F8" w14:textId="77777777" w:rsidR="00A25313" w:rsidRDefault="00A25313" w:rsidP="00A25313">
      <w:pPr>
        <w:pStyle w:val="ListParagraph"/>
        <w:numPr>
          <w:ilvl w:val="0"/>
          <w:numId w:val="1"/>
        </w:numPr>
      </w:pPr>
      <w:r>
        <w:t>The amended rule will allow a Written Statement of Unauthorized Debit (WSUD) to be signed and dated by the Receiver on or after the date on which the Entry is presented to the Receiver, even if the debit has not yet been posted to the account.</w:t>
      </w:r>
    </w:p>
    <w:p w14:paraId="5E616101" w14:textId="77777777" w:rsidR="00A25313" w:rsidRDefault="00A25313" w:rsidP="00A25313">
      <w:pPr>
        <w:pStyle w:val="ListParagraph"/>
        <w:numPr>
          <w:ilvl w:val="0"/>
          <w:numId w:val="1"/>
        </w:numPr>
      </w:pPr>
      <w:r>
        <w:t>When returning a debit as unauthorized in the extended return timeframe, the RDFI must do so by the opening of the sixth Banking Day following the completion of its review of the consumer’s signed WSUD.</w:t>
      </w:r>
    </w:p>
    <w:p w14:paraId="4B4C7AF2" w14:textId="65BFA6E6" w:rsidR="00DC152B" w:rsidRDefault="000B2CBD">
      <w:pPr>
        <w:rPr>
          <w:rStyle w:val="Hyperlink"/>
          <w:color w:val="000000" w:themeColor="text1"/>
          <w:u w:val="none"/>
        </w:rPr>
      </w:pPr>
      <w:r>
        <w:rPr>
          <w:rStyle w:val="Hyperlink"/>
          <w:color w:val="000000" w:themeColor="text1"/>
          <w:u w:val="none"/>
        </w:rPr>
        <w:t xml:space="preserve">While the </w:t>
      </w:r>
      <w:hyperlink r:id="rId6" w:history="1">
        <w:r w:rsidRPr="00C9040E">
          <w:rPr>
            <w:rStyle w:val="Hyperlink"/>
          </w:rPr>
          <w:t>NCUA</w:t>
        </w:r>
        <w:r w:rsidR="00483EDE" w:rsidRPr="00C9040E">
          <w:rPr>
            <w:rStyle w:val="Hyperlink"/>
          </w:rPr>
          <w:t xml:space="preserve"> has only published </w:t>
        </w:r>
        <w:r w:rsidR="00777B56" w:rsidRPr="00C9040E">
          <w:rPr>
            <w:rStyle w:val="Hyperlink"/>
          </w:rPr>
          <w:t>a proposed rule</w:t>
        </w:r>
      </w:hyperlink>
      <w:r w:rsidR="00777B56">
        <w:rPr>
          <w:rStyle w:val="Hyperlink"/>
          <w:color w:val="000000" w:themeColor="text1"/>
          <w:u w:val="none"/>
        </w:rPr>
        <w:t xml:space="preserve"> for Succession Planning, </w:t>
      </w:r>
      <w:r w:rsidR="0037274D">
        <w:rPr>
          <w:rStyle w:val="Hyperlink"/>
          <w:color w:val="000000" w:themeColor="text1"/>
          <w:u w:val="none"/>
        </w:rPr>
        <w:t>the model succession plan (1520.10) was revised based on the model plan provided by the NCUA.  While much of the existing framework was maintained</w:t>
      </w:r>
      <w:r w:rsidR="00FD69B7">
        <w:rPr>
          <w:rStyle w:val="Hyperlink"/>
          <w:color w:val="000000" w:themeColor="text1"/>
          <w:u w:val="none"/>
        </w:rPr>
        <w:t xml:space="preserve"> from the prior version</w:t>
      </w:r>
      <w:r w:rsidR="0037274D">
        <w:rPr>
          <w:rStyle w:val="Hyperlink"/>
          <w:color w:val="000000" w:themeColor="text1"/>
          <w:u w:val="none"/>
        </w:rPr>
        <w:t>, additional committees were added along with tables for</w:t>
      </w:r>
      <w:r w:rsidR="00C9040E">
        <w:rPr>
          <w:rStyle w:val="Hyperlink"/>
          <w:color w:val="000000" w:themeColor="text1"/>
          <w:u w:val="none"/>
        </w:rPr>
        <w:t xml:space="preserve"> consistency.</w:t>
      </w:r>
    </w:p>
    <w:p w14:paraId="683A8998" w14:textId="0775848D" w:rsidR="001F2E2A" w:rsidRDefault="00FD69B7">
      <w:pPr>
        <w:rPr>
          <w:rStyle w:val="Hyperlink"/>
          <w:color w:val="000000" w:themeColor="text1"/>
          <w:u w:val="none"/>
        </w:rPr>
      </w:pPr>
      <w:r>
        <w:rPr>
          <w:rStyle w:val="Hyperlink"/>
          <w:color w:val="000000" w:themeColor="text1"/>
          <w:u w:val="none"/>
        </w:rPr>
        <w:t xml:space="preserve">Other policy changes were a result of </w:t>
      </w:r>
      <w:r w:rsidR="00A21635">
        <w:rPr>
          <w:rStyle w:val="Hyperlink"/>
          <w:color w:val="000000" w:themeColor="text1"/>
          <w:u w:val="none"/>
        </w:rPr>
        <w:t>our policy evolution process, credit union</w:t>
      </w:r>
      <w:r w:rsidR="00063D86">
        <w:rPr>
          <w:rStyle w:val="Hyperlink"/>
          <w:color w:val="000000" w:themeColor="text1"/>
          <w:u w:val="none"/>
        </w:rPr>
        <w:t>/examiner feedback and/or regulatory scrutiny.</w:t>
      </w:r>
    </w:p>
    <w:p w14:paraId="0A542918" w14:textId="2C6AF68A" w:rsidR="001F2E2A" w:rsidRPr="006359C3" w:rsidRDefault="003935E3" w:rsidP="001F2E2A">
      <w:pPr>
        <w:spacing w:after="0" w:line="240" w:lineRule="auto"/>
        <w:rPr>
          <w:b/>
          <w:bCs/>
          <w:u w:val="single"/>
        </w:rPr>
      </w:pPr>
      <w:r>
        <w:rPr>
          <w:b/>
          <w:bCs/>
          <w:u w:val="single"/>
        </w:rPr>
        <w:t>1520.10</w:t>
      </w:r>
      <w:r w:rsidR="00AC421E">
        <w:rPr>
          <w:b/>
          <w:bCs/>
          <w:u w:val="single"/>
        </w:rPr>
        <w:t>: Succession Plan</w:t>
      </w:r>
    </w:p>
    <w:p w14:paraId="59B94713" w14:textId="4EE43715" w:rsidR="001F2E2A" w:rsidRPr="006359C3" w:rsidRDefault="001F2E2A" w:rsidP="001F2E2A">
      <w:pPr>
        <w:spacing w:after="0" w:line="240" w:lineRule="auto"/>
        <w:rPr>
          <w:b/>
          <w:bCs/>
          <w:u w:val="single"/>
        </w:rPr>
      </w:pPr>
      <w:r w:rsidRPr="006359C3">
        <w:rPr>
          <w:b/>
          <w:bCs/>
          <w:u w:val="single"/>
        </w:rPr>
        <w:t>2024-</w:t>
      </w:r>
      <w:r w:rsidR="00AC421E">
        <w:rPr>
          <w:b/>
          <w:bCs/>
          <w:u w:val="single"/>
        </w:rPr>
        <w:t>3</w:t>
      </w:r>
    </w:p>
    <w:p w14:paraId="33E87713" w14:textId="6A81AA10" w:rsidR="001F2E2A" w:rsidRPr="006359C3" w:rsidRDefault="00AC421E" w:rsidP="001F2E2A">
      <w:pPr>
        <w:spacing w:after="0" w:line="240" w:lineRule="auto"/>
        <w:rPr>
          <w:b/>
          <w:bCs/>
          <w:color w:val="FF0000"/>
        </w:rPr>
      </w:pPr>
      <w:r>
        <w:t xml:space="preserve">This model succession plan was revised based on the </w:t>
      </w:r>
      <w:hyperlink r:id="rId7" w:history="1">
        <w:r w:rsidRPr="00842BCF">
          <w:rPr>
            <w:rStyle w:val="Hyperlink"/>
          </w:rPr>
          <w:t>model succession plan released by the NCUA</w:t>
        </w:r>
      </w:hyperlink>
      <w:r>
        <w:t xml:space="preserve"> for small credit unions</w:t>
      </w:r>
      <w:r w:rsidR="001963BD">
        <w:t xml:space="preserve">.  </w:t>
      </w:r>
      <w:r w:rsidR="00611661">
        <w:t>Much of the existing framework remains in place, but the additional</w:t>
      </w:r>
      <w:r w:rsidR="000F7A3C">
        <w:t xml:space="preserve"> committees and use of tables was included for consistency.</w:t>
      </w:r>
      <w:r w:rsidR="001F2E2A">
        <w:t xml:space="preserve"> </w:t>
      </w:r>
      <w:r w:rsidR="001F2E2A" w:rsidRPr="006359C3">
        <w:rPr>
          <w:b/>
          <w:bCs/>
          <w:color w:val="FF0000"/>
        </w:rPr>
        <w:t>Recommended</w:t>
      </w:r>
    </w:p>
    <w:p w14:paraId="782CDF34" w14:textId="77777777" w:rsidR="001F2E2A" w:rsidRPr="00BD3A90" w:rsidRDefault="001F2E2A" w:rsidP="001F2E2A">
      <w:pPr>
        <w:spacing w:after="0" w:line="240" w:lineRule="auto"/>
        <w:rPr>
          <w:b/>
          <w:bCs/>
        </w:rPr>
      </w:pPr>
    </w:p>
    <w:p w14:paraId="100D92AB" w14:textId="77777777" w:rsidR="00063D86" w:rsidRDefault="00063D86">
      <w:pPr>
        <w:rPr>
          <w:b/>
          <w:bCs/>
          <w:u w:val="single"/>
        </w:rPr>
      </w:pPr>
      <w:r>
        <w:rPr>
          <w:b/>
          <w:bCs/>
          <w:u w:val="single"/>
        </w:rPr>
        <w:br w:type="page"/>
      </w:r>
    </w:p>
    <w:p w14:paraId="6C7BBCC8" w14:textId="1284E9E4" w:rsidR="001F2E2A" w:rsidRPr="00981AAB" w:rsidRDefault="00C252BC" w:rsidP="001F2E2A">
      <w:pPr>
        <w:spacing w:after="0" w:line="240" w:lineRule="auto"/>
        <w:rPr>
          <w:b/>
          <w:bCs/>
          <w:u w:val="single"/>
        </w:rPr>
      </w:pPr>
      <w:r>
        <w:rPr>
          <w:b/>
          <w:bCs/>
          <w:u w:val="single"/>
        </w:rPr>
        <w:lastRenderedPageBreak/>
        <w:t>2120: Cash</w:t>
      </w:r>
    </w:p>
    <w:p w14:paraId="62063E43" w14:textId="4FF4AF68" w:rsidR="001F2E2A" w:rsidRPr="00981AAB" w:rsidRDefault="001F2E2A" w:rsidP="001F2E2A">
      <w:pPr>
        <w:spacing w:after="0" w:line="240" w:lineRule="auto"/>
        <w:rPr>
          <w:b/>
          <w:bCs/>
          <w:u w:val="single"/>
        </w:rPr>
      </w:pPr>
      <w:r w:rsidRPr="00981AAB">
        <w:rPr>
          <w:b/>
          <w:bCs/>
          <w:u w:val="single"/>
        </w:rPr>
        <w:t>2024-</w:t>
      </w:r>
      <w:r w:rsidR="00C252BC">
        <w:rPr>
          <w:b/>
          <w:bCs/>
          <w:u w:val="single"/>
        </w:rPr>
        <w:t>3</w:t>
      </w:r>
    </w:p>
    <w:p w14:paraId="248F890D" w14:textId="34F645A2" w:rsidR="001F2E2A" w:rsidRDefault="005D75AA" w:rsidP="001F2E2A">
      <w:pPr>
        <w:spacing w:after="0" w:line="240" w:lineRule="auto"/>
        <w:rPr>
          <w:b/>
          <w:bCs/>
          <w:color w:val="FF0000"/>
        </w:rPr>
      </w:pPr>
      <w:r>
        <w:t>Credit unions are utilizing different resources to service members’ cash needs includ</w:t>
      </w:r>
      <w:r w:rsidR="00355AD4">
        <w:t>ing</w:t>
      </w:r>
      <w:r>
        <w:t xml:space="preserve"> using cash recyclers, </w:t>
      </w:r>
      <w:r w:rsidR="0068083F">
        <w:t>interactive teller machines (ITMs), and video teller machines (VTMs)</w:t>
      </w:r>
      <w:r w:rsidR="00463D02">
        <w:t>.</w:t>
      </w:r>
      <w:r w:rsidR="0068083F">
        <w:t xml:space="preserve"> </w:t>
      </w:r>
      <w:r w:rsidR="00463D02">
        <w:t>T</w:t>
      </w:r>
      <w:r w:rsidR="0068083F">
        <w:t xml:space="preserve">hese </w:t>
      </w:r>
      <w:r w:rsidR="00463D02">
        <w:t xml:space="preserve">have been </w:t>
      </w:r>
      <w:r w:rsidR="0068083F">
        <w:t xml:space="preserve">added to the Cash Policy.  </w:t>
      </w:r>
      <w:r w:rsidR="00F362FE">
        <w:t xml:space="preserve">Two new Key Fields have been added. </w:t>
      </w:r>
      <w:r w:rsidR="001F2E2A" w:rsidRPr="006359C3">
        <w:rPr>
          <w:b/>
          <w:bCs/>
          <w:color w:val="FF0000"/>
        </w:rPr>
        <w:t>Recommended</w:t>
      </w:r>
    </w:p>
    <w:p w14:paraId="155714EC" w14:textId="77777777" w:rsidR="003B33E4" w:rsidRPr="006359C3" w:rsidRDefault="003B33E4" w:rsidP="001F2E2A">
      <w:pPr>
        <w:spacing w:after="0" w:line="240" w:lineRule="auto"/>
        <w:rPr>
          <w:b/>
          <w:bCs/>
          <w:color w:val="FF0000"/>
        </w:rPr>
      </w:pPr>
    </w:p>
    <w:p w14:paraId="0A9B7E97" w14:textId="55B92B94" w:rsidR="001F2E2A" w:rsidRPr="007F0828" w:rsidRDefault="00A25313" w:rsidP="007F0828">
      <w:pPr>
        <w:spacing w:after="0" w:line="240" w:lineRule="auto"/>
        <w:rPr>
          <w:b/>
          <w:bCs/>
          <w:color w:val="000000" w:themeColor="text1"/>
          <w:u w:val="single"/>
        </w:rPr>
      </w:pPr>
      <w:r w:rsidRPr="007F0828">
        <w:rPr>
          <w:b/>
          <w:bCs/>
          <w:color w:val="000000" w:themeColor="text1"/>
          <w:u w:val="single"/>
        </w:rPr>
        <w:t>261</w:t>
      </w:r>
      <w:r w:rsidR="00D02A0F" w:rsidRPr="007F0828">
        <w:rPr>
          <w:b/>
          <w:bCs/>
          <w:color w:val="000000" w:themeColor="text1"/>
          <w:u w:val="single"/>
        </w:rPr>
        <w:t>1: ACH Operations and Management</w:t>
      </w:r>
    </w:p>
    <w:p w14:paraId="4578F268" w14:textId="55215FAA" w:rsidR="00D02A0F" w:rsidRPr="007F0828" w:rsidRDefault="00D02A0F" w:rsidP="007F0828">
      <w:pPr>
        <w:spacing w:after="0" w:line="240" w:lineRule="auto"/>
        <w:rPr>
          <w:b/>
          <w:bCs/>
          <w:color w:val="000000" w:themeColor="text1"/>
          <w:u w:val="single"/>
        </w:rPr>
      </w:pPr>
      <w:r w:rsidRPr="007F0828">
        <w:rPr>
          <w:b/>
          <w:bCs/>
          <w:color w:val="000000" w:themeColor="text1"/>
          <w:u w:val="single"/>
        </w:rPr>
        <w:t>2024-3</w:t>
      </w:r>
    </w:p>
    <w:p w14:paraId="5B1DB1C1" w14:textId="15121F15" w:rsidR="00F00999" w:rsidRDefault="00BA0403" w:rsidP="007F0828">
      <w:pPr>
        <w:spacing w:after="0" w:line="240" w:lineRule="auto"/>
        <w:rPr>
          <w:color w:val="000000" w:themeColor="text1"/>
        </w:rPr>
      </w:pPr>
      <w:r>
        <w:rPr>
          <w:color w:val="000000" w:themeColor="text1"/>
        </w:rPr>
        <w:t xml:space="preserve">Changes were made to comply with the newly effective Risk Management package effective on October 1, 2024.  </w:t>
      </w:r>
      <w:r w:rsidR="0090245F">
        <w:rPr>
          <w:color w:val="000000" w:themeColor="text1"/>
        </w:rPr>
        <w:t>Additional changes were also made to improve t</w:t>
      </w:r>
      <w:r w:rsidR="00F03E0E">
        <w:rPr>
          <w:color w:val="000000" w:themeColor="text1"/>
        </w:rPr>
        <w:t xml:space="preserve">he content of </w:t>
      </w:r>
      <w:r w:rsidR="0090245F">
        <w:rPr>
          <w:color w:val="000000" w:themeColor="text1"/>
        </w:rPr>
        <w:t>the policy</w:t>
      </w:r>
      <w:r w:rsidR="00F03E0E">
        <w:rPr>
          <w:color w:val="000000" w:themeColor="text1"/>
        </w:rPr>
        <w:t>.</w:t>
      </w:r>
      <w:r w:rsidR="0090245F">
        <w:rPr>
          <w:color w:val="000000" w:themeColor="text1"/>
        </w:rPr>
        <w:t xml:space="preserve"> </w:t>
      </w:r>
      <w:r>
        <w:rPr>
          <w:color w:val="000000" w:themeColor="text1"/>
        </w:rPr>
        <w:t xml:space="preserve">Credit </w:t>
      </w:r>
      <w:r w:rsidR="007F0828">
        <w:rPr>
          <w:color w:val="000000" w:themeColor="text1"/>
        </w:rPr>
        <w:t xml:space="preserve">unions should update their policy to comply with these new requirements.  </w:t>
      </w:r>
      <w:r w:rsidR="007F0828" w:rsidRPr="007F0828">
        <w:rPr>
          <w:b/>
          <w:bCs/>
          <w:color w:val="FF0000"/>
        </w:rPr>
        <w:t>Required</w:t>
      </w:r>
      <w:r w:rsidR="007F0828">
        <w:rPr>
          <w:color w:val="000000" w:themeColor="text1"/>
        </w:rPr>
        <w:br/>
      </w:r>
    </w:p>
    <w:p w14:paraId="403A9A32" w14:textId="45B994BA" w:rsidR="007F0828" w:rsidRPr="007F0828" w:rsidRDefault="007F0828" w:rsidP="007F0828">
      <w:pPr>
        <w:spacing w:after="0" w:line="240" w:lineRule="auto"/>
        <w:rPr>
          <w:b/>
          <w:bCs/>
          <w:color w:val="000000" w:themeColor="text1"/>
          <w:u w:val="single"/>
        </w:rPr>
      </w:pPr>
      <w:r w:rsidRPr="007F0828">
        <w:rPr>
          <w:b/>
          <w:bCs/>
          <w:color w:val="000000" w:themeColor="text1"/>
          <w:u w:val="single"/>
        </w:rPr>
        <w:t>261</w:t>
      </w:r>
      <w:r>
        <w:rPr>
          <w:b/>
          <w:bCs/>
          <w:color w:val="000000" w:themeColor="text1"/>
          <w:u w:val="single"/>
        </w:rPr>
        <w:t>2</w:t>
      </w:r>
      <w:r w:rsidRPr="007F0828">
        <w:rPr>
          <w:b/>
          <w:bCs/>
          <w:color w:val="000000" w:themeColor="text1"/>
          <w:u w:val="single"/>
        </w:rPr>
        <w:t xml:space="preserve">: ACH </w:t>
      </w:r>
      <w:r w:rsidR="000B2CBD">
        <w:rPr>
          <w:b/>
          <w:bCs/>
          <w:color w:val="000000" w:themeColor="text1"/>
          <w:u w:val="single"/>
        </w:rPr>
        <w:t>Audit</w:t>
      </w:r>
    </w:p>
    <w:p w14:paraId="233A57A4" w14:textId="77777777" w:rsidR="007F0828" w:rsidRPr="007F0828" w:rsidRDefault="007F0828" w:rsidP="007F0828">
      <w:pPr>
        <w:spacing w:after="0" w:line="240" w:lineRule="auto"/>
        <w:rPr>
          <w:b/>
          <w:bCs/>
          <w:color w:val="000000" w:themeColor="text1"/>
          <w:u w:val="single"/>
        </w:rPr>
      </w:pPr>
      <w:r w:rsidRPr="007F0828">
        <w:rPr>
          <w:b/>
          <w:bCs/>
          <w:color w:val="000000" w:themeColor="text1"/>
          <w:u w:val="single"/>
        </w:rPr>
        <w:t>2024-3</w:t>
      </w:r>
    </w:p>
    <w:p w14:paraId="10410280" w14:textId="1B1A437C" w:rsidR="007F0828" w:rsidRPr="00DA700C" w:rsidRDefault="007F0828" w:rsidP="007F0828">
      <w:pPr>
        <w:spacing w:after="0" w:line="240" w:lineRule="auto"/>
        <w:rPr>
          <w:color w:val="000000" w:themeColor="text1"/>
        </w:rPr>
      </w:pPr>
      <w:r>
        <w:rPr>
          <w:color w:val="000000" w:themeColor="text1"/>
        </w:rPr>
        <w:t xml:space="preserve">Changes were made to comply with the newly effective Risk Management package effective on October 1, 2024.  </w:t>
      </w:r>
      <w:r w:rsidR="006F452B">
        <w:rPr>
          <w:color w:val="000000" w:themeColor="text1"/>
        </w:rPr>
        <w:t xml:space="preserve">Additional changes were also made to improve the content of the policy.  </w:t>
      </w:r>
      <w:r>
        <w:rPr>
          <w:color w:val="000000" w:themeColor="text1"/>
        </w:rPr>
        <w:t xml:space="preserve">Credit unions should update their policy to comply with these new requirements.  </w:t>
      </w:r>
      <w:r w:rsidRPr="007F0828">
        <w:rPr>
          <w:b/>
          <w:bCs/>
          <w:color w:val="FF0000"/>
        </w:rPr>
        <w:t>Required</w:t>
      </w:r>
    </w:p>
    <w:p w14:paraId="36024BF0" w14:textId="151354A8" w:rsidR="004C3803" w:rsidRDefault="006F452B" w:rsidP="00BA5151">
      <w:pPr>
        <w:spacing w:after="0" w:line="240" w:lineRule="auto"/>
        <w:rPr>
          <w:b/>
          <w:bCs/>
          <w:color w:val="000000" w:themeColor="text1"/>
          <w:u w:val="single"/>
        </w:rPr>
      </w:pPr>
      <w:r>
        <w:rPr>
          <w:b/>
          <w:bCs/>
          <w:color w:val="000000" w:themeColor="text1"/>
          <w:u w:val="single"/>
        </w:rPr>
        <w:br/>
      </w:r>
      <w:r w:rsidR="004C3803">
        <w:rPr>
          <w:b/>
          <w:bCs/>
          <w:color w:val="000000" w:themeColor="text1"/>
          <w:u w:val="single"/>
        </w:rPr>
        <w:t xml:space="preserve">7315: </w:t>
      </w:r>
      <w:r w:rsidR="00086309">
        <w:rPr>
          <w:b/>
          <w:bCs/>
          <w:color w:val="000000" w:themeColor="text1"/>
          <w:u w:val="single"/>
        </w:rPr>
        <w:t>Commercial Real Estate Loan Workouts and Modifications</w:t>
      </w:r>
    </w:p>
    <w:p w14:paraId="0BB34C96" w14:textId="45D08D9A" w:rsidR="00086309" w:rsidRDefault="00086309" w:rsidP="00BA5151">
      <w:pPr>
        <w:spacing w:after="0" w:line="240" w:lineRule="auto"/>
        <w:rPr>
          <w:b/>
          <w:bCs/>
          <w:color w:val="000000" w:themeColor="text1"/>
          <w:u w:val="single"/>
        </w:rPr>
      </w:pPr>
      <w:r>
        <w:rPr>
          <w:b/>
          <w:bCs/>
          <w:color w:val="000000" w:themeColor="text1"/>
          <w:u w:val="single"/>
        </w:rPr>
        <w:t>2024-3</w:t>
      </w:r>
    </w:p>
    <w:p w14:paraId="475DC0D6" w14:textId="06EFCFC9" w:rsidR="004C3803" w:rsidRDefault="00151711" w:rsidP="00BA5151">
      <w:pPr>
        <w:spacing w:after="0" w:line="240" w:lineRule="auto"/>
        <w:rPr>
          <w:b/>
          <w:bCs/>
          <w:color w:val="000000" w:themeColor="text1"/>
          <w:u w:val="single"/>
        </w:rPr>
      </w:pPr>
      <w:r>
        <w:rPr>
          <w:color w:val="000000" w:themeColor="text1"/>
        </w:rPr>
        <w:t>Revisions were made to Policy 7315</w:t>
      </w:r>
      <w:r w:rsidR="00D221A6">
        <w:rPr>
          <w:color w:val="000000" w:themeColor="text1"/>
        </w:rPr>
        <w:t xml:space="preserve"> to include </w:t>
      </w:r>
      <w:r w:rsidR="00BC448C">
        <w:rPr>
          <w:color w:val="000000" w:themeColor="text1"/>
        </w:rPr>
        <w:t xml:space="preserve">limits on </w:t>
      </w:r>
      <w:r w:rsidR="00776398">
        <w:rPr>
          <w:color w:val="000000" w:themeColor="text1"/>
        </w:rPr>
        <w:t xml:space="preserve">individual </w:t>
      </w:r>
      <w:r w:rsidR="00BC448C">
        <w:rPr>
          <w:color w:val="000000" w:themeColor="text1"/>
        </w:rPr>
        <w:t xml:space="preserve">commercial real estate loan workout arrangements </w:t>
      </w:r>
      <w:r w:rsidR="00776398">
        <w:rPr>
          <w:color w:val="000000" w:themeColor="text1"/>
        </w:rPr>
        <w:t>and aggregate limits.</w:t>
      </w:r>
      <w:r w:rsidR="0065089F">
        <w:rPr>
          <w:color w:val="000000" w:themeColor="text1"/>
        </w:rPr>
        <w:t xml:space="preserve"> </w:t>
      </w:r>
      <w:r w:rsidR="0065089F">
        <w:t xml:space="preserve">Two new Key Fields have been added. </w:t>
      </w:r>
      <w:r w:rsidR="00776398">
        <w:rPr>
          <w:color w:val="000000" w:themeColor="text1"/>
        </w:rPr>
        <w:t xml:space="preserve">  </w:t>
      </w:r>
      <w:r w:rsidR="00776398" w:rsidRPr="00776398">
        <w:rPr>
          <w:b/>
          <w:bCs/>
          <w:color w:val="FF0000"/>
        </w:rPr>
        <w:t>Recommended</w:t>
      </w:r>
      <w:r w:rsidR="00776398">
        <w:rPr>
          <w:color w:val="000000" w:themeColor="text1"/>
        </w:rPr>
        <w:br/>
      </w:r>
    </w:p>
    <w:p w14:paraId="22EED3A0" w14:textId="1128053D" w:rsidR="003A48FA" w:rsidRPr="00BA5151" w:rsidRDefault="00CF3E26" w:rsidP="00BA5151">
      <w:pPr>
        <w:spacing w:after="0" w:line="240" w:lineRule="auto"/>
        <w:rPr>
          <w:b/>
          <w:bCs/>
          <w:color w:val="000000" w:themeColor="text1"/>
          <w:u w:val="single"/>
        </w:rPr>
      </w:pPr>
      <w:r w:rsidRPr="00BA5151">
        <w:rPr>
          <w:b/>
          <w:bCs/>
          <w:color w:val="000000" w:themeColor="text1"/>
          <w:u w:val="single"/>
        </w:rPr>
        <w:t>11003</w:t>
      </w:r>
      <w:r w:rsidR="00F35A69" w:rsidRPr="00BA5151">
        <w:rPr>
          <w:b/>
          <w:bCs/>
          <w:color w:val="000000" w:themeColor="text1"/>
          <w:u w:val="single"/>
        </w:rPr>
        <w:t>: Accuracy and Integr</w:t>
      </w:r>
      <w:r w:rsidR="00061BED" w:rsidRPr="00BA5151">
        <w:rPr>
          <w:b/>
          <w:bCs/>
          <w:color w:val="000000" w:themeColor="text1"/>
          <w:u w:val="single"/>
        </w:rPr>
        <w:t>ity of Information Reported</w:t>
      </w:r>
    </w:p>
    <w:p w14:paraId="59C2FCF7" w14:textId="35A6036B" w:rsidR="00061BED" w:rsidRPr="00BA5151" w:rsidRDefault="00061BED" w:rsidP="00BA5151">
      <w:pPr>
        <w:spacing w:after="0" w:line="240" w:lineRule="auto"/>
        <w:rPr>
          <w:b/>
          <w:bCs/>
          <w:color w:val="000000" w:themeColor="text1"/>
          <w:u w:val="single"/>
        </w:rPr>
      </w:pPr>
      <w:r w:rsidRPr="00BA5151">
        <w:rPr>
          <w:b/>
          <w:bCs/>
          <w:color w:val="000000" w:themeColor="text1"/>
          <w:u w:val="single"/>
        </w:rPr>
        <w:t>2024-3</w:t>
      </w:r>
    </w:p>
    <w:p w14:paraId="2B1D88A7" w14:textId="66DA160A" w:rsidR="00061BED" w:rsidRDefault="00061BED" w:rsidP="00BA5151">
      <w:pPr>
        <w:spacing w:after="0" w:line="240" w:lineRule="auto"/>
        <w:rPr>
          <w:color w:val="000000" w:themeColor="text1"/>
        </w:rPr>
      </w:pPr>
      <w:r>
        <w:rPr>
          <w:color w:val="000000" w:themeColor="text1"/>
        </w:rPr>
        <w:t xml:space="preserve">Changes are being made to </w:t>
      </w:r>
      <w:r w:rsidR="008768BF">
        <w:rPr>
          <w:color w:val="000000" w:themeColor="text1"/>
        </w:rPr>
        <w:t xml:space="preserve">address the continued scrutiny of the Fair Credit Report Act by the regulatory agencies.  </w:t>
      </w:r>
      <w:r w:rsidR="00A46CA7">
        <w:rPr>
          <w:color w:val="000000" w:themeColor="text1"/>
        </w:rPr>
        <w:t xml:space="preserve">The policy content was strengthened to address the reinvestigation process related to disputes, including the </w:t>
      </w:r>
      <w:r w:rsidR="00460644">
        <w:rPr>
          <w:color w:val="000000" w:themeColor="text1"/>
        </w:rPr>
        <w:t>specifics on the E-Oscar process.</w:t>
      </w:r>
      <w:r w:rsidR="006B7951">
        <w:rPr>
          <w:color w:val="000000" w:themeColor="text1"/>
        </w:rPr>
        <w:t xml:space="preserve"> </w:t>
      </w:r>
      <w:r w:rsidR="00704E26">
        <w:rPr>
          <w:color w:val="000000" w:themeColor="text1"/>
        </w:rPr>
        <w:t xml:space="preserve">Note: </w:t>
      </w:r>
      <w:r w:rsidR="008642D7">
        <w:rPr>
          <w:color w:val="000000" w:themeColor="text1"/>
        </w:rPr>
        <w:t xml:space="preserve">information from Model 11006 has been incorporated into this policy, and Policy 11006 has been retired from CU PolicyPro. </w:t>
      </w:r>
      <w:r w:rsidR="006B7951" w:rsidRPr="00BA5151">
        <w:rPr>
          <w:b/>
          <w:bCs/>
          <w:color w:val="FF0000"/>
        </w:rPr>
        <w:t>Recommended</w:t>
      </w:r>
    </w:p>
    <w:p w14:paraId="10AFBAD1" w14:textId="77777777" w:rsidR="006B7951" w:rsidRDefault="006B7951">
      <w:pPr>
        <w:rPr>
          <w:color w:val="000000" w:themeColor="text1"/>
        </w:rPr>
      </w:pPr>
    </w:p>
    <w:p w14:paraId="122160B9" w14:textId="57C37CFE" w:rsidR="00561A79" w:rsidRPr="00561A79" w:rsidRDefault="00561A79" w:rsidP="00E81EEA">
      <w:pPr>
        <w:spacing w:after="0" w:line="240" w:lineRule="auto"/>
        <w:rPr>
          <w:b/>
          <w:bCs/>
          <w:color w:val="000000" w:themeColor="text1"/>
          <w:u w:val="single"/>
        </w:rPr>
      </w:pPr>
      <w:r w:rsidRPr="00561A79">
        <w:rPr>
          <w:b/>
          <w:bCs/>
          <w:color w:val="000000" w:themeColor="text1"/>
          <w:u w:val="single"/>
        </w:rPr>
        <w:t>1100</w:t>
      </w:r>
      <w:r w:rsidR="00AC182E">
        <w:rPr>
          <w:b/>
          <w:bCs/>
          <w:color w:val="000000" w:themeColor="text1"/>
          <w:u w:val="single"/>
        </w:rPr>
        <w:t>6</w:t>
      </w:r>
      <w:r w:rsidRPr="00561A79">
        <w:rPr>
          <w:b/>
          <w:bCs/>
          <w:color w:val="000000" w:themeColor="text1"/>
          <w:u w:val="single"/>
        </w:rPr>
        <w:t xml:space="preserve"> – </w:t>
      </w:r>
      <w:r w:rsidR="00514524">
        <w:rPr>
          <w:b/>
          <w:bCs/>
          <w:color w:val="000000" w:themeColor="text1"/>
          <w:u w:val="single"/>
        </w:rPr>
        <w:t>Receipt of Notice of Dispute of Accuracy of Information</w:t>
      </w:r>
      <w:r w:rsidRPr="00561A79">
        <w:rPr>
          <w:b/>
          <w:bCs/>
          <w:color w:val="000000" w:themeColor="text1"/>
          <w:u w:val="single"/>
        </w:rPr>
        <w:t xml:space="preserve"> </w:t>
      </w:r>
      <w:r w:rsidRPr="00561A79">
        <w:rPr>
          <w:b/>
          <w:bCs/>
          <w:i/>
          <w:iCs/>
          <w:color w:val="FF0000"/>
          <w:u w:val="single"/>
        </w:rPr>
        <w:t>**Policy Retired**</w:t>
      </w:r>
    </w:p>
    <w:p w14:paraId="25884A5D" w14:textId="64409085" w:rsidR="00561A79" w:rsidRPr="00561A79" w:rsidRDefault="00561A79" w:rsidP="00E81EEA">
      <w:pPr>
        <w:spacing w:after="0" w:line="240" w:lineRule="auto"/>
        <w:rPr>
          <w:b/>
          <w:bCs/>
          <w:color w:val="000000" w:themeColor="text1"/>
          <w:u w:val="single"/>
        </w:rPr>
      </w:pPr>
      <w:r w:rsidRPr="00561A79">
        <w:rPr>
          <w:b/>
          <w:bCs/>
          <w:color w:val="000000" w:themeColor="text1"/>
          <w:u w:val="single"/>
        </w:rPr>
        <w:t>2024-</w:t>
      </w:r>
      <w:r>
        <w:rPr>
          <w:b/>
          <w:bCs/>
          <w:color w:val="000000" w:themeColor="text1"/>
          <w:u w:val="single"/>
        </w:rPr>
        <w:t>3</w:t>
      </w:r>
    </w:p>
    <w:p w14:paraId="78998B41" w14:textId="2AB0C1AD" w:rsidR="00561A79" w:rsidRPr="00561A79" w:rsidRDefault="00561A79" w:rsidP="00E81EEA">
      <w:pPr>
        <w:spacing w:after="0" w:line="240" w:lineRule="auto"/>
        <w:rPr>
          <w:color w:val="000000" w:themeColor="text1"/>
        </w:rPr>
      </w:pPr>
      <w:r>
        <w:rPr>
          <w:color w:val="000000" w:themeColor="text1"/>
        </w:rPr>
        <w:t xml:space="preserve">In a continued effort to make the </w:t>
      </w:r>
      <w:r w:rsidR="000C53B4">
        <w:rPr>
          <w:color w:val="000000" w:themeColor="text1"/>
        </w:rPr>
        <w:t xml:space="preserve">Fair Credit Reporting Act policies more concise and comprehensive this policy was retired with the model content combined with </w:t>
      </w:r>
      <w:r w:rsidRPr="00561A79">
        <w:rPr>
          <w:color w:val="000000" w:themeColor="text1"/>
        </w:rPr>
        <w:t xml:space="preserve">Policy 11003 – Accuracy and Integrity of Information Reported. </w:t>
      </w:r>
      <w:r w:rsidR="001712A7" w:rsidRPr="00654F25">
        <w:rPr>
          <w:b/>
          <w:bCs/>
          <w:color w:val="FF0000"/>
        </w:rPr>
        <w:t>This policy has been removed from CU PolicyPro.</w:t>
      </w:r>
      <w:r w:rsidR="001712A7" w:rsidRPr="00654F25">
        <w:rPr>
          <w:color w:val="FF0000"/>
        </w:rPr>
        <w:t xml:space="preserve"> </w:t>
      </w:r>
      <w:r w:rsidRPr="00561A79">
        <w:rPr>
          <w:b/>
          <w:bCs/>
          <w:color w:val="FF0000"/>
        </w:rPr>
        <w:t>Recommended</w:t>
      </w:r>
    </w:p>
    <w:p w14:paraId="73C9F48F" w14:textId="77777777" w:rsidR="008509AB" w:rsidRPr="00DA700C" w:rsidRDefault="008509AB">
      <w:pPr>
        <w:rPr>
          <w:color w:val="000000" w:themeColor="text1"/>
        </w:rPr>
      </w:pPr>
    </w:p>
    <w:sectPr w:rsidR="008509AB" w:rsidRPr="00DA7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9641E9"/>
    <w:multiLevelType w:val="hybridMultilevel"/>
    <w:tmpl w:val="79EA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6511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F87"/>
    <w:rsid w:val="00061BED"/>
    <w:rsid w:val="00063D86"/>
    <w:rsid w:val="00086309"/>
    <w:rsid w:val="000B2CBD"/>
    <w:rsid w:val="000B4213"/>
    <w:rsid w:val="000C53B4"/>
    <w:rsid w:val="000F7A3C"/>
    <w:rsid w:val="00147B35"/>
    <w:rsid w:val="00151711"/>
    <w:rsid w:val="001712A7"/>
    <w:rsid w:val="001963BD"/>
    <w:rsid w:val="001F2E2A"/>
    <w:rsid w:val="0025338F"/>
    <w:rsid w:val="002559AA"/>
    <w:rsid w:val="002E0F14"/>
    <w:rsid w:val="00313860"/>
    <w:rsid w:val="00347851"/>
    <w:rsid w:val="00355AD4"/>
    <w:rsid w:val="0037274D"/>
    <w:rsid w:val="003935E3"/>
    <w:rsid w:val="003A48FA"/>
    <w:rsid w:val="003B33E4"/>
    <w:rsid w:val="00414A77"/>
    <w:rsid w:val="0042083A"/>
    <w:rsid w:val="00431174"/>
    <w:rsid w:val="004437B5"/>
    <w:rsid w:val="00456FD0"/>
    <w:rsid w:val="00460644"/>
    <w:rsid w:val="00462A7E"/>
    <w:rsid w:val="00463D02"/>
    <w:rsid w:val="00483EDE"/>
    <w:rsid w:val="00486CF8"/>
    <w:rsid w:val="004C3803"/>
    <w:rsid w:val="00510527"/>
    <w:rsid w:val="00514524"/>
    <w:rsid w:val="00561A79"/>
    <w:rsid w:val="00583D90"/>
    <w:rsid w:val="005A70C5"/>
    <w:rsid w:val="005D75AA"/>
    <w:rsid w:val="00611661"/>
    <w:rsid w:val="0065089F"/>
    <w:rsid w:val="00654F25"/>
    <w:rsid w:val="0068083F"/>
    <w:rsid w:val="006B2C51"/>
    <w:rsid w:val="006B7951"/>
    <w:rsid w:val="006F452B"/>
    <w:rsid w:val="00704E26"/>
    <w:rsid w:val="007377BF"/>
    <w:rsid w:val="00744826"/>
    <w:rsid w:val="00776398"/>
    <w:rsid w:val="00777B56"/>
    <w:rsid w:val="007F0828"/>
    <w:rsid w:val="00842BCF"/>
    <w:rsid w:val="008509AB"/>
    <w:rsid w:val="008642D7"/>
    <w:rsid w:val="00865784"/>
    <w:rsid w:val="008768BF"/>
    <w:rsid w:val="0089451B"/>
    <w:rsid w:val="008A0D20"/>
    <w:rsid w:val="0090245F"/>
    <w:rsid w:val="00951ECA"/>
    <w:rsid w:val="0098464A"/>
    <w:rsid w:val="009A1A40"/>
    <w:rsid w:val="009A55A0"/>
    <w:rsid w:val="009E189B"/>
    <w:rsid w:val="00A21635"/>
    <w:rsid w:val="00A25313"/>
    <w:rsid w:val="00A3156B"/>
    <w:rsid w:val="00A46CA7"/>
    <w:rsid w:val="00AC182E"/>
    <w:rsid w:val="00AC421E"/>
    <w:rsid w:val="00BA0403"/>
    <w:rsid w:val="00BA5151"/>
    <w:rsid w:val="00BB5DF2"/>
    <w:rsid w:val="00BC448C"/>
    <w:rsid w:val="00C06CB4"/>
    <w:rsid w:val="00C14F87"/>
    <w:rsid w:val="00C23CF6"/>
    <w:rsid w:val="00C252BC"/>
    <w:rsid w:val="00C9040E"/>
    <w:rsid w:val="00CA2F6F"/>
    <w:rsid w:val="00CF3E26"/>
    <w:rsid w:val="00D02A0F"/>
    <w:rsid w:val="00D221A6"/>
    <w:rsid w:val="00D82050"/>
    <w:rsid w:val="00DA700C"/>
    <w:rsid w:val="00DC152B"/>
    <w:rsid w:val="00E61CE5"/>
    <w:rsid w:val="00E81EEA"/>
    <w:rsid w:val="00F00999"/>
    <w:rsid w:val="00F03E0E"/>
    <w:rsid w:val="00F17215"/>
    <w:rsid w:val="00F26A62"/>
    <w:rsid w:val="00F35A69"/>
    <w:rsid w:val="00F362FE"/>
    <w:rsid w:val="00F5008A"/>
    <w:rsid w:val="00F64236"/>
    <w:rsid w:val="00FD6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6D15"/>
  <w15:chartTrackingRefBased/>
  <w15:docId w15:val="{F1465B82-45BD-430E-B610-F112EA02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F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4F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4F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4F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F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F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F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F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F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F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4F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4F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F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F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F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F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F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F87"/>
    <w:rPr>
      <w:rFonts w:eastAsiaTheme="majorEastAsia" w:cstheme="majorBidi"/>
      <w:color w:val="272727" w:themeColor="text1" w:themeTint="D8"/>
    </w:rPr>
  </w:style>
  <w:style w:type="paragraph" w:styleId="Title">
    <w:name w:val="Title"/>
    <w:basedOn w:val="Normal"/>
    <w:next w:val="Normal"/>
    <w:link w:val="TitleChar"/>
    <w:uiPriority w:val="10"/>
    <w:qFormat/>
    <w:rsid w:val="00C14F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F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F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F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F87"/>
    <w:pPr>
      <w:spacing w:before="160"/>
      <w:jc w:val="center"/>
    </w:pPr>
    <w:rPr>
      <w:i/>
      <w:iCs/>
      <w:color w:val="404040" w:themeColor="text1" w:themeTint="BF"/>
    </w:rPr>
  </w:style>
  <w:style w:type="character" w:customStyle="1" w:styleId="QuoteChar">
    <w:name w:val="Quote Char"/>
    <w:basedOn w:val="DefaultParagraphFont"/>
    <w:link w:val="Quote"/>
    <w:uiPriority w:val="29"/>
    <w:rsid w:val="00C14F87"/>
    <w:rPr>
      <w:i/>
      <w:iCs/>
      <w:color w:val="404040" w:themeColor="text1" w:themeTint="BF"/>
    </w:rPr>
  </w:style>
  <w:style w:type="paragraph" w:styleId="ListParagraph">
    <w:name w:val="List Paragraph"/>
    <w:basedOn w:val="Normal"/>
    <w:uiPriority w:val="34"/>
    <w:qFormat/>
    <w:rsid w:val="00C14F87"/>
    <w:pPr>
      <w:ind w:left="720"/>
      <w:contextualSpacing/>
    </w:pPr>
  </w:style>
  <w:style w:type="character" w:styleId="IntenseEmphasis">
    <w:name w:val="Intense Emphasis"/>
    <w:basedOn w:val="DefaultParagraphFont"/>
    <w:uiPriority w:val="21"/>
    <w:qFormat/>
    <w:rsid w:val="00C14F87"/>
    <w:rPr>
      <w:i/>
      <w:iCs/>
      <w:color w:val="0F4761" w:themeColor="accent1" w:themeShade="BF"/>
    </w:rPr>
  </w:style>
  <w:style w:type="paragraph" w:styleId="IntenseQuote">
    <w:name w:val="Intense Quote"/>
    <w:basedOn w:val="Normal"/>
    <w:next w:val="Normal"/>
    <w:link w:val="IntenseQuoteChar"/>
    <w:uiPriority w:val="30"/>
    <w:qFormat/>
    <w:rsid w:val="00C14F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F87"/>
    <w:rPr>
      <w:i/>
      <w:iCs/>
      <w:color w:val="0F4761" w:themeColor="accent1" w:themeShade="BF"/>
    </w:rPr>
  </w:style>
  <w:style w:type="character" w:styleId="IntenseReference">
    <w:name w:val="Intense Reference"/>
    <w:basedOn w:val="DefaultParagraphFont"/>
    <w:uiPriority w:val="32"/>
    <w:qFormat/>
    <w:rsid w:val="00C14F87"/>
    <w:rPr>
      <w:b/>
      <w:bCs/>
      <w:smallCaps/>
      <w:color w:val="0F4761" w:themeColor="accent1" w:themeShade="BF"/>
      <w:spacing w:val="5"/>
    </w:rPr>
  </w:style>
  <w:style w:type="character" w:styleId="Hyperlink">
    <w:name w:val="Hyperlink"/>
    <w:basedOn w:val="DefaultParagraphFont"/>
    <w:uiPriority w:val="99"/>
    <w:unhideWhenUsed/>
    <w:rsid w:val="00C14F87"/>
    <w:rPr>
      <w:color w:val="467886" w:themeColor="hyperlink"/>
      <w:u w:val="single"/>
    </w:rPr>
  </w:style>
  <w:style w:type="character" w:styleId="UnresolvedMention">
    <w:name w:val="Unresolved Mention"/>
    <w:basedOn w:val="DefaultParagraphFont"/>
    <w:uiPriority w:val="99"/>
    <w:semiHidden/>
    <w:unhideWhenUsed/>
    <w:rsid w:val="00C14F87"/>
    <w:rPr>
      <w:color w:val="605E5C"/>
      <w:shd w:val="clear" w:color="auto" w:fill="E1DFDD"/>
    </w:rPr>
  </w:style>
  <w:style w:type="paragraph" w:styleId="Revision">
    <w:name w:val="Revision"/>
    <w:hidden/>
    <w:uiPriority w:val="99"/>
    <w:semiHidden/>
    <w:rsid w:val="00583D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8279">
      <w:bodyDiv w:val="1"/>
      <w:marLeft w:val="0"/>
      <w:marRight w:val="0"/>
      <w:marTop w:val="0"/>
      <w:marBottom w:val="0"/>
      <w:divBdr>
        <w:top w:val="none" w:sz="0" w:space="0" w:color="auto"/>
        <w:left w:val="none" w:sz="0" w:space="0" w:color="auto"/>
        <w:bottom w:val="none" w:sz="0" w:space="0" w:color="auto"/>
        <w:right w:val="none" w:sz="0" w:space="0" w:color="auto"/>
      </w:divBdr>
    </w:div>
    <w:div w:id="470752355">
      <w:bodyDiv w:val="1"/>
      <w:marLeft w:val="0"/>
      <w:marRight w:val="0"/>
      <w:marTop w:val="0"/>
      <w:marBottom w:val="0"/>
      <w:divBdr>
        <w:top w:val="none" w:sz="0" w:space="0" w:color="auto"/>
        <w:left w:val="none" w:sz="0" w:space="0" w:color="auto"/>
        <w:bottom w:val="none" w:sz="0" w:space="0" w:color="auto"/>
        <w:right w:val="none" w:sz="0" w:space="0" w:color="auto"/>
      </w:divBdr>
    </w:div>
    <w:div w:id="1661233338">
      <w:bodyDiv w:val="1"/>
      <w:marLeft w:val="0"/>
      <w:marRight w:val="0"/>
      <w:marTop w:val="0"/>
      <w:marBottom w:val="0"/>
      <w:divBdr>
        <w:top w:val="none" w:sz="0" w:space="0" w:color="auto"/>
        <w:left w:val="none" w:sz="0" w:space="0" w:color="auto"/>
        <w:bottom w:val="none" w:sz="0" w:space="0" w:color="auto"/>
        <w:right w:val="none" w:sz="0" w:space="0" w:color="auto"/>
      </w:divBdr>
    </w:div>
    <w:div w:id="181968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cua.gov/files/agenda-items/succession-plan-template-202407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cua.gov/files/agenda-items/succession-planning-proposed-rule-20240718.pdf" TargetMode="External"/><Relationship Id="rId5" Type="http://schemas.openxmlformats.org/officeDocument/2006/relationships/hyperlink" Target="https://www.nacha.org/rules/risk-management-topics-october-1-202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5</cp:revision>
  <dcterms:created xsi:type="dcterms:W3CDTF">2024-10-03T15:26:00Z</dcterms:created>
  <dcterms:modified xsi:type="dcterms:W3CDTF">2024-10-03T20:19:00Z</dcterms:modified>
</cp:coreProperties>
</file>